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333841" w14:textId="77777777" w:rsidR="00C422E2" w:rsidRPr="00C422E2" w:rsidRDefault="00C422E2" w:rsidP="00C422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7FC5725" w14:textId="0A24BF29" w:rsidR="00B37948" w:rsidRDefault="00B37948" w:rsidP="00C422E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</w:pPr>
      <w:r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  <w:t>EVENTI FORMATIVI</w:t>
      </w:r>
    </w:p>
    <w:p w14:paraId="564518A8" w14:textId="77777777" w:rsidR="00B37948" w:rsidRDefault="00B37948" w:rsidP="00C422E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</w:pPr>
    </w:p>
    <w:p w14:paraId="11020DF4" w14:textId="112B5F86" w:rsid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  <w:t>22 marzo 2024 </w:t>
      </w:r>
    </w:p>
    <w:p w14:paraId="4273A713" w14:textId="77777777" w:rsidR="00C422E2" w:rsidRP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</w:pPr>
    </w:p>
    <w:p w14:paraId="75AD113C" w14:textId="77777777" w:rsidR="00C422E2" w:rsidRDefault="00C422E2" w:rsidP="00C422E2">
      <w:pPr>
        <w:spacing w:after="0" w:line="240" w:lineRule="auto"/>
        <w:outlineLvl w:val="1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  <w:t>SINERGIE Incontri tecnici tra Comune e Liberi Professionisti.</w:t>
      </w:r>
    </w:p>
    <w:p w14:paraId="0EC3159C" w14:textId="77777777" w:rsidR="00C422E2" w:rsidRDefault="00C422E2" w:rsidP="00C422E2">
      <w:pPr>
        <w:spacing w:after="0" w:line="240" w:lineRule="auto"/>
        <w:outlineLvl w:val="1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</w:pPr>
    </w:p>
    <w:p w14:paraId="16DDF22E" w14:textId="0B7B283B" w:rsidR="00C422E2" w:rsidRPr="00C422E2" w:rsidRDefault="00C422E2" w:rsidP="00C422E2">
      <w:pPr>
        <w:spacing w:after="0" w:line="240" w:lineRule="auto"/>
        <w:outlineLvl w:val="1"/>
        <w:rPr>
          <w:rFonts w:ascii="Helvetica" w:eastAsia="Times New Roman" w:hAnsi="Helvetica" w:cs="Helvetica"/>
          <w:color w:val="000000"/>
          <w:kern w:val="0"/>
          <w:sz w:val="36"/>
          <w:szCs w:val="36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  <w:t> </w:t>
      </w:r>
      <w:hyperlink r:id="rId4" w:tgtFrame="_blank" w:history="1">
        <w:r w:rsidRPr="00C422E2">
          <w:rPr>
            <w:rFonts w:ascii="Helvetica" w:eastAsia="Times New Roman" w:hAnsi="Helvetica" w:cs="Helvetica"/>
            <w:color w:val="0000F1"/>
            <w:kern w:val="0"/>
            <w:sz w:val="18"/>
            <w:szCs w:val="18"/>
            <w:u w:val="single"/>
            <w:lang w:eastAsia="it-IT"/>
            <w14:ligatures w14:val="none"/>
          </w:rPr>
          <w:t xml:space="preserve">Vai </w:t>
        </w:r>
        <w:r w:rsidRPr="00C422E2">
          <w:rPr>
            <w:rFonts w:ascii="Helvetica" w:eastAsia="Times New Roman" w:hAnsi="Helvetica" w:cs="Helvetica"/>
            <w:color w:val="0000F1"/>
            <w:kern w:val="0"/>
            <w:sz w:val="18"/>
            <w:szCs w:val="18"/>
            <w:u w:val="single"/>
            <w:lang w:eastAsia="it-IT"/>
            <w14:ligatures w14:val="none"/>
          </w:rPr>
          <w:t>a</w:t>
        </w:r>
        <w:r w:rsidRPr="00C422E2">
          <w:rPr>
            <w:rFonts w:ascii="Helvetica" w:eastAsia="Times New Roman" w:hAnsi="Helvetica" w:cs="Helvetica"/>
            <w:color w:val="0000F1"/>
            <w:kern w:val="0"/>
            <w:sz w:val="18"/>
            <w:szCs w:val="18"/>
            <w:u w:val="single"/>
            <w:lang w:eastAsia="it-IT"/>
            <w14:ligatures w14:val="none"/>
          </w:rPr>
          <w:t>i dettagli</w:t>
        </w:r>
      </w:hyperlink>
    </w:p>
    <w:p w14:paraId="1CB24EE2" w14:textId="77777777" w:rsid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</w:pPr>
    </w:p>
    <w:p w14:paraId="5BA08C73" w14:textId="6D20C1A9" w:rsid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  <w:t>28 marzo 2024</w:t>
      </w:r>
    </w:p>
    <w:p w14:paraId="6D8186C3" w14:textId="77777777" w:rsidR="00C422E2" w:rsidRP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</w:pPr>
    </w:p>
    <w:p w14:paraId="4E25D4A9" w14:textId="77777777" w:rsidR="00C422E2" w:rsidRDefault="00C422E2" w:rsidP="00C422E2">
      <w:pPr>
        <w:spacing w:after="0" w:line="240" w:lineRule="auto"/>
        <w:outlineLvl w:val="1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  <w:t>LE PAVIMENTAZIONI RIGIDE STRADALI ED AEROPORTUALI.</w:t>
      </w:r>
    </w:p>
    <w:p w14:paraId="11B8EF74" w14:textId="77777777" w:rsidR="00C422E2" w:rsidRDefault="00C422E2" w:rsidP="00C422E2">
      <w:pPr>
        <w:spacing w:after="0" w:line="240" w:lineRule="auto"/>
        <w:outlineLvl w:val="1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</w:pPr>
    </w:p>
    <w:p w14:paraId="39390B64" w14:textId="1B7FD271" w:rsidR="00C422E2" w:rsidRPr="00C422E2" w:rsidRDefault="00C422E2" w:rsidP="00C422E2">
      <w:pPr>
        <w:spacing w:after="0" w:line="240" w:lineRule="auto"/>
        <w:outlineLvl w:val="1"/>
        <w:rPr>
          <w:rFonts w:ascii="Helvetica" w:eastAsia="Times New Roman" w:hAnsi="Helvetica" w:cs="Helvetica"/>
          <w:color w:val="000000"/>
          <w:kern w:val="0"/>
          <w:sz w:val="36"/>
          <w:szCs w:val="36"/>
          <w:lang w:eastAsia="it-IT"/>
          <w14:ligatures w14:val="none"/>
        </w:rPr>
      </w:pPr>
      <w:hyperlink r:id="rId5" w:tgtFrame="_blank" w:history="1">
        <w:r w:rsidRPr="00C422E2">
          <w:rPr>
            <w:rFonts w:ascii="Helvetica" w:eastAsia="Times New Roman" w:hAnsi="Helvetica" w:cs="Helvetica"/>
            <w:color w:val="0000F1"/>
            <w:kern w:val="0"/>
            <w:sz w:val="18"/>
            <w:szCs w:val="18"/>
            <w:u w:val="single"/>
            <w:lang w:eastAsia="it-IT"/>
            <w14:ligatures w14:val="none"/>
          </w:rPr>
          <w:t>Vai ai dettagli</w:t>
        </w:r>
      </w:hyperlink>
    </w:p>
    <w:p w14:paraId="2F190F9B" w14:textId="77777777" w:rsid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</w:pPr>
    </w:p>
    <w:p w14:paraId="5C76DF95" w14:textId="7EC6E3AB" w:rsid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  <w:t>16 aprile 2024</w:t>
      </w:r>
    </w:p>
    <w:p w14:paraId="7E58894D" w14:textId="77777777" w:rsidR="00C422E2" w:rsidRP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</w:pPr>
    </w:p>
    <w:p w14:paraId="5D61D745" w14:textId="77777777" w:rsidR="00C422E2" w:rsidRDefault="00C422E2" w:rsidP="00C422E2">
      <w:pPr>
        <w:spacing w:after="0" w:line="240" w:lineRule="auto"/>
        <w:outlineLvl w:val="1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  <w:t>CORSO BASE DI SPECIALIZZAZIONE IN PREVENZIONE INCENDI.</w:t>
      </w:r>
    </w:p>
    <w:p w14:paraId="46F12013" w14:textId="77777777" w:rsidR="00C422E2" w:rsidRDefault="00C422E2" w:rsidP="00C422E2">
      <w:pPr>
        <w:spacing w:after="0" w:line="240" w:lineRule="auto"/>
        <w:outlineLvl w:val="1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</w:pPr>
    </w:p>
    <w:p w14:paraId="576C3251" w14:textId="59DE79BD" w:rsidR="00C422E2" w:rsidRPr="00C422E2" w:rsidRDefault="00C422E2" w:rsidP="00C422E2">
      <w:pPr>
        <w:spacing w:after="0" w:line="240" w:lineRule="auto"/>
        <w:outlineLvl w:val="1"/>
        <w:rPr>
          <w:rFonts w:ascii="Helvetica" w:eastAsia="Times New Roman" w:hAnsi="Helvetica" w:cs="Helvetica"/>
          <w:color w:val="000000"/>
          <w:kern w:val="0"/>
          <w:sz w:val="36"/>
          <w:szCs w:val="36"/>
          <w:lang w:eastAsia="it-IT"/>
          <w14:ligatures w14:val="none"/>
        </w:rPr>
      </w:pPr>
      <w:hyperlink r:id="rId6" w:tgtFrame="_blank" w:history="1">
        <w:r w:rsidRPr="00C422E2">
          <w:rPr>
            <w:rFonts w:ascii="Helvetica" w:eastAsia="Times New Roman" w:hAnsi="Helvetica" w:cs="Helvetica"/>
            <w:color w:val="0000F1"/>
            <w:kern w:val="0"/>
            <w:sz w:val="18"/>
            <w:szCs w:val="18"/>
            <w:u w:val="single"/>
            <w:lang w:eastAsia="it-IT"/>
            <w14:ligatures w14:val="none"/>
          </w:rPr>
          <w:t>Vai ai dettagli</w:t>
        </w:r>
        <w:r w:rsidRPr="00C422E2">
          <w:rPr>
            <w:rFonts w:ascii="Tahoma" w:eastAsia="Times New Roman" w:hAnsi="Tahoma" w:cs="Tahoma"/>
            <w:color w:val="0000F1"/>
            <w:kern w:val="0"/>
            <w:sz w:val="18"/>
            <w:szCs w:val="18"/>
            <w:u w:val="single"/>
            <w:lang w:eastAsia="it-IT"/>
            <w14:ligatures w14:val="none"/>
          </w:rPr>
          <w:t>﻿</w:t>
        </w:r>
      </w:hyperlink>
    </w:p>
    <w:p w14:paraId="5E297E73" w14:textId="77777777" w:rsid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it-IT"/>
          <w14:ligatures w14:val="none"/>
        </w:rPr>
      </w:pPr>
    </w:p>
    <w:p w14:paraId="6CD3296F" w14:textId="2B685FA1" w:rsid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it-IT"/>
          <w14:ligatures w14:val="none"/>
        </w:rPr>
        <w:t> </w:t>
      </w:r>
      <w:r w:rsidRPr="00C422E2"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  <w:t>4 aprile 2024</w:t>
      </w:r>
    </w:p>
    <w:p w14:paraId="01BB2C31" w14:textId="77777777" w:rsidR="00C422E2" w:rsidRP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it-IT"/>
          <w14:ligatures w14:val="none"/>
        </w:rPr>
      </w:pPr>
    </w:p>
    <w:p w14:paraId="498D0AD0" w14:textId="77777777" w:rsidR="00C422E2" w:rsidRDefault="00C422E2" w:rsidP="00C422E2">
      <w:pPr>
        <w:spacing w:after="225" w:line="240" w:lineRule="auto"/>
        <w:outlineLvl w:val="1"/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  <w:t xml:space="preserve">DICHIARAZIONI DI CONFORMITA' </w:t>
      </w:r>
    </w:p>
    <w:p w14:paraId="7BE9899F" w14:textId="049B0149" w:rsidR="00C422E2" w:rsidRPr="00C422E2" w:rsidRDefault="00C422E2" w:rsidP="00AA2D67">
      <w:pPr>
        <w:spacing w:after="0" w:line="240" w:lineRule="auto"/>
        <w:outlineLvl w:val="1"/>
        <w:rPr>
          <w:rFonts w:ascii="Helvetica" w:eastAsia="Times New Roman" w:hAnsi="Helvetica" w:cs="Helvetica"/>
          <w:color w:val="0000F1"/>
          <w:kern w:val="0"/>
          <w:sz w:val="18"/>
          <w:szCs w:val="18"/>
          <w:u w:val="single"/>
          <w:lang w:eastAsia="it-IT"/>
          <w14:ligatures w14:val="none"/>
        </w:rPr>
      </w:pPr>
      <w:hyperlink r:id="rId7" w:history="1">
        <w:r w:rsidRPr="00C422E2">
          <w:rPr>
            <w:rFonts w:ascii="Helvetica" w:eastAsia="Times New Roman" w:hAnsi="Helvetica" w:cs="Helvetica"/>
            <w:color w:val="0000F1"/>
            <w:kern w:val="0"/>
            <w:sz w:val="18"/>
            <w:szCs w:val="18"/>
            <w:u w:val="single"/>
            <w:lang w:eastAsia="it-IT"/>
            <w14:ligatures w14:val="none"/>
          </w:rPr>
          <w:t>Vai ai dettagli</w:t>
        </w:r>
      </w:hyperlink>
    </w:p>
    <w:p w14:paraId="4951942B" w14:textId="77777777" w:rsid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  <w:t>5 aprile 2024</w:t>
      </w:r>
    </w:p>
    <w:p w14:paraId="5A01E40D" w14:textId="77777777" w:rsidR="00C422E2" w:rsidRP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</w:pPr>
    </w:p>
    <w:p w14:paraId="4E4729BC" w14:textId="77777777" w:rsidR="00C422E2" w:rsidRDefault="00C422E2" w:rsidP="00C422E2">
      <w:pPr>
        <w:spacing w:after="0" w:line="240" w:lineRule="auto"/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  <w:t>La corretta impermeabilizzazione con sistemi innovativi per il recupero edilizio</w:t>
      </w:r>
    </w:p>
    <w:p w14:paraId="74AEEE8E" w14:textId="77777777" w:rsidR="00C422E2" w:rsidRDefault="00C422E2" w:rsidP="00C422E2">
      <w:pPr>
        <w:spacing w:after="0" w:line="240" w:lineRule="auto"/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</w:pPr>
    </w:p>
    <w:p w14:paraId="59AE15C1" w14:textId="2699C889" w:rsidR="00C422E2" w:rsidRPr="00C422E2" w:rsidRDefault="00C422E2" w:rsidP="00AA2D67">
      <w:pPr>
        <w:spacing w:after="0" w:line="240" w:lineRule="auto"/>
        <w:outlineLvl w:val="1"/>
        <w:rPr>
          <w:rFonts w:ascii="Helvetica" w:eastAsia="Times New Roman" w:hAnsi="Helvetica" w:cs="Helvetica"/>
          <w:color w:val="0000F1"/>
          <w:kern w:val="0"/>
          <w:sz w:val="18"/>
          <w:szCs w:val="18"/>
          <w:u w:val="single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000F1"/>
          <w:kern w:val="0"/>
          <w:sz w:val="18"/>
          <w:szCs w:val="18"/>
          <w:u w:val="single"/>
          <w:lang w:eastAsia="it-IT"/>
          <w14:ligatures w14:val="none"/>
        </w:rPr>
        <w:fldChar w:fldCharType="begin"/>
      </w:r>
      <w:r w:rsidRPr="00C422E2">
        <w:rPr>
          <w:rFonts w:ascii="Helvetica" w:eastAsia="Times New Roman" w:hAnsi="Helvetica" w:cs="Helvetica"/>
          <w:color w:val="0000F1"/>
          <w:kern w:val="0"/>
          <w:sz w:val="18"/>
          <w:szCs w:val="18"/>
          <w:u w:val="single"/>
          <w:lang w:eastAsia="it-IT"/>
          <w14:ligatures w14:val="none"/>
        </w:rPr>
        <w:instrText>HYPERLINK "https://rptrimini.ing4.it/event-details/la-corretta-impermeabilizzazionecon-sistemi-innovativi-per-il-recupero-edilizio"</w:instrText>
      </w:r>
      <w:r w:rsidRPr="00C422E2">
        <w:rPr>
          <w:rFonts w:ascii="Helvetica" w:eastAsia="Times New Roman" w:hAnsi="Helvetica" w:cs="Helvetica"/>
          <w:color w:val="0000F1"/>
          <w:kern w:val="0"/>
          <w:sz w:val="18"/>
          <w:szCs w:val="18"/>
          <w:u w:val="single"/>
          <w:lang w:eastAsia="it-IT"/>
          <w14:ligatures w14:val="none"/>
        </w:rPr>
      </w:r>
      <w:r w:rsidRPr="00C422E2">
        <w:rPr>
          <w:rFonts w:ascii="Helvetica" w:eastAsia="Times New Roman" w:hAnsi="Helvetica" w:cs="Helvetica"/>
          <w:color w:val="0000F1"/>
          <w:kern w:val="0"/>
          <w:sz w:val="18"/>
          <w:szCs w:val="18"/>
          <w:u w:val="single"/>
          <w:lang w:eastAsia="it-IT"/>
          <w14:ligatures w14:val="none"/>
        </w:rPr>
        <w:fldChar w:fldCharType="separate"/>
      </w:r>
      <w:r w:rsidRPr="00C422E2">
        <w:rPr>
          <w:rFonts w:ascii="Helvetica" w:eastAsia="Times New Roman" w:hAnsi="Helvetica" w:cs="Helvetica"/>
          <w:color w:val="0000F1"/>
          <w:kern w:val="0"/>
          <w:sz w:val="18"/>
          <w:szCs w:val="18"/>
          <w:u w:val="single"/>
          <w:lang w:eastAsia="it-IT"/>
          <w14:ligatures w14:val="none"/>
        </w:rPr>
        <w:t>Vai ai dettagli</w:t>
      </w:r>
      <w:r w:rsidRPr="00C422E2">
        <w:rPr>
          <w:rFonts w:ascii="Helvetica" w:eastAsia="Times New Roman" w:hAnsi="Helvetica" w:cs="Helvetica"/>
          <w:color w:val="0000F1"/>
          <w:kern w:val="0"/>
          <w:sz w:val="18"/>
          <w:szCs w:val="18"/>
          <w:u w:val="single"/>
          <w:lang w:eastAsia="it-IT"/>
          <w14:ligatures w14:val="none"/>
        </w:rPr>
        <w:fldChar w:fldCharType="end"/>
      </w:r>
    </w:p>
    <w:p w14:paraId="068568AE" w14:textId="77777777" w:rsidR="00C422E2" w:rsidRPr="00C422E2" w:rsidRDefault="00C422E2" w:rsidP="00C422E2">
      <w:pPr>
        <w:spacing w:after="0" w:line="240" w:lineRule="auto"/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</w:pPr>
    </w:p>
    <w:p w14:paraId="6373F1E7" w14:textId="77777777" w:rsidR="00C422E2" w:rsidRDefault="00C422E2" w:rsidP="00C422E2">
      <w:pPr>
        <w:spacing w:after="0" w:line="240" w:lineRule="auto"/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</w:pPr>
    </w:p>
    <w:p w14:paraId="470D8D56" w14:textId="7602C607" w:rsidR="00C422E2" w:rsidRP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  <w:t>9 aprile 2024</w:t>
      </w:r>
    </w:p>
    <w:p w14:paraId="0712809D" w14:textId="77777777" w:rsidR="00C422E2" w:rsidRDefault="00C422E2" w:rsidP="00C422E2">
      <w:pPr>
        <w:spacing w:after="0" w:line="240" w:lineRule="auto"/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</w:pPr>
    </w:p>
    <w:p w14:paraId="106FE84C" w14:textId="77777777" w:rsidR="00C422E2" w:rsidRDefault="00C422E2" w:rsidP="00C422E2">
      <w:pPr>
        <w:spacing w:after="0" w:line="240" w:lineRule="auto"/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  <w:t>DESIGN THE FUTURE</w:t>
      </w:r>
    </w:p>
    <w:p w14:paraId="01BC8F16" w14:textId="77777777" w:rsidR="00C422E2" w:rsidRDefault="00C422E2" w:rsidP="00C422E2">
      <w:pPr>
        <w:spacing w:after="0" w:line="240" w:lineRule="auto"/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</w:pPr>
    </w:p>
    <w:p w14:paraId="6DF409EF" w14:textId="23F82552" w:rsidR="00C422E2" w:rsidRPr="00C422E2" w:rsidRDefault="00C422E2" w:rsidP="00AA2D67">
      <w:pPr>
        <w:spacing w:after="0" w:line="240" w:lineRule="auto"/>
        <w:outlineLvl w:val="1"/>
        <w:rPr>
          <w:rFonts w:ascii="Helvetica" w:eastAsia="Times New Roman" w:hAnsi="Helvetica" w:cs="Helvetica"/>
          <w:color w:val="0000F1"/>
          <w:kern w:val="0"/>
          <w:sz w:val="18"/>
          <w:szCs w:val="18"/>
          <w:u w:val="single"/>
          <w:lang w:eastAsia="it-IT"/>
          <w14:ligatures w14:val="none"/>
        </w:rPr>
      </w:pPr>
      <w:hyperlink r:id="rId8" w:history="1">
        <w:r w:rsidRPr="00C422E2">
          <w:rPr>
            <w:rFonts w:ascii="Helvetica" w:eastAsia="Times New Roman" w:hAnsi="Helvetica" w:cs="Helvetica"/>
            <w:color w:val="0000F1"/>
            <w:kern w:val="0"/>
            <w:sz w:val="18"/>
            <w:szCs w:val="18"/>
            <w:u w:val="single"/>
            <w:lang w:eastAsia="it-IT"/>
            <w14:ligatures w14:val="none"/>
          </w:rPr>
          <w:t>V</w:t>
        </w:r>
        <w:r w:rsidRPr="00C422E2">
          <w:rPr>
            <w:rFonts w:ascii="Helvetica" w:eastAsia="Times New Roman" w:hAnsi="Helvetica" w:cs="Helvetica"/>
            <w:color w:val="0000F1"/>
            <w:kern w:val="0"/>
            <w:sz w:val="18"/>
            <w:szCs w:val="18"/>
            <w:u w:val="single"/>
            <w:lang w:eastAsia="it-IT"/>
            <w14:ligatures w14:val="none"/>
          </w:rPr>
          <w:t>a</w:t>
        </w:r>
        <w:r w:rsidRPr="00C422E2">
          <w:rPr>
            <w:rFonts w:ascii="Helvetica" w:eastAsia="Times New Roman" w:hAnsi="Helvetica" w:cs="Helvetica"/>
            <w:color w:val="0000F1"/>
            <w:kern w:val="0"/>
            <w:sz w:val="18"/>
            <w:szCs w:val="18"/>
            <w:u w:val="single"/>
            <w:lang w:eastAsia="it-IT"/>
            <w14:ligatures w14:val="none"/>
          </w:rPr>
          <w:t>i ai dettagli</w:t>
        </w:r>
      </w:hyperlink>
    </w:p>
    <w:p w14:paraId="709CE176" w14:textId="77777777" w:rsidR="00C422E2" w:rsidRP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  <w:t> </w:t>
      </w:r>
    </w:p>
    <w:p w14:paraId="4D82579D" w14:textId="77777777" w:rsidR="00C422E2" w:rsidRP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  <w:t> </w:t>
      </w:r>
    </w:p>
    <w:p w14:paraId="1C6803AB" w14:textId="77777777" w:rsidR="00C422E2" w:rsidRP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  <w:t>Informativa per gli Ingegneri iscritti all'Ordine degli Ingegneri della Provincia di</w:t>
      </w:r>
    </w:p>
    <w:p w14:paraId="5D618498" w14:textId="77777777" w:rsidR="00C422E2" w:rsidRP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b/>
          <w:bCs/>
          <w:color w:val="0A0A0A"/>
          <w:kern w:val="0"/>
          <w:sz w:val="24"/>
          <w:szCs w:val="24"/>
          <w:lang w:eastAsia="it-IT"/>
          <w14:ligatures w14:val="none"/>
        </w:rPr>
        <w:t>Rimini:</w:t>
      </w:r>
    </w:p>
    <w:p w14:paraId="0128B462" w14:textId="77777777" w:rsidR="00C422E2" w:rsidRPr="00C422E2" w:rsidRDefault="00C422E2" w:rsidP="00AA2D67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000000"/>
          <w:kern w:val="0"/>
          <w:sz w:val="42"/>
          <w:szCs w:val="42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  <w:t>1) Il numero di CFP che vengono riconosciuti ad un neo-laureato varia in relazione alla decorrenza tra l’anno di conseguimento dell’abilitazione e l’anno d’iscrizione all’albo, come sotto riportato: </w:t>
      </w:r>
    </w:p>
    <w:p w14:paraId="119CBC11" w14:textId="77777777" w:rsidR="00C422E2" w:rsidRPr="00C422E2" w:rsidRDefault="00C422E2" w:rsidP="00AA2D67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000000"/>
          <w:kern w:val="0"/>
          <w:sz w:val="42"/>
          <w:szCs w:val="42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  <w:t>- in caso di prima iscrizione all'Albo entro 2 anni dal conseguimento dell'abilitazione: 90 CFP; </w:t>
      </w:r>
    </w:p>
    <w:p w14:paraId="44E78EF3" w14:textId="77777777" w:rsidR="00C422E2" w:rsidRPr="00C422E2" w:rsidRDefault="00C422E2" w:rsidP="00AA2D67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000000"/>
          <w:kern w:val="0"/>
          <w:sz w:val="42"/>
          <w:szCs w:val="42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  <w:t>- in caso di prima iscrizione all'Albo dopo 2 e fino a 5 anni dal conseguimento dell'abilitazione: 60 CFP;</w:t>
      </w:r>
    </w:p>
    <w:p w14:paraId="0263DD28" w14:textId="77777777" w:rsidR="00C422E2" w:rsidRPr="00C422E2" w:rsidRDefault="00C422E2" w:rsidP="00AA2D67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000000"/>
          <w:kern w:val="0"/>
          <w:sz w:val="42"/>
          <w:szCs w:val="42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  <w:lastRenderedPageBreak/>
        <w:t> - in caso di prima iscrizione all'Albo dopo 5 anni dal conseguimento dell'abilitazione: 30 CFP. </w:t>
      </w:r>
    </w:p>
    <w:p w14:paraId="4C27ED4B" w14:textId="77777777" w:rsidR="00C422E2" w:rsidRPr="00C422E2" w:rsidRDefault="00C422E2" w:rsidP="00AA2D67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000000"/>
          <w:kern w:val="0"/>
          <w:sz w:val="42"/>
          <w:szCs w:val="42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  <w:t xml:space="preserve">Si precisa che, come riportato dall'art. 3 comma 9 del Regolamento di Formazione adottato dal CNI pubblicato sul Bollettino Ufficiale del Ministero della Giustizia n. 13 del 15 luglio 2013, l'attestato di partecipazione rilasciato dal CNI sulla piattaforma </w:t>
      </w:r>
      <w:proofErr w:type="spellStart"/>
      <w:r w:rsidRPr="00C422E2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  <w:t>Mying</w:t>
      </w:r>
      <w:proofErr w:type="spellEnd"/>
      <w:r w:rsidRPr="00C422E2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  <w:t xml:space="preserve"> riporterà 0 CFP in quanto "</w:t>
      </w:r>
      <w:r w:rsidRPr="00C422E2">
        <w:rPr>
          <w:rFonts w:ascii="Helvetica" w:eastAsia="Times New Roman" w:hAnsi="Helvetica" w:cs="Helvetica"/>
          <w:i/>
          <w:iCs/>
          <w:color w:val="000000"/>
          <w:kern w:val="0"/>
          <w:sz w:val="24"/>
          <w:szCs w:val="24"/>
          <w:lang w:eastAsia="it-IT"/>
          <w14:ligatures w14:val="none"/>
        </w:rPr>
        <w:t>i crediti conferiti al momento della prima iscrizione comprendono 5 CFP sull'etica e deontologia professionale da conseguire obbligatoriamente entro il primo anno solare successivo a quello di iscrizione</w:t>
      </w:r>
      <w:r w:rsidRPr="00C422E2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it-IT"/>
          <w14:ligatures w14:val="none"/>
        </w:rPr>
        <w:t>". </w:t>
      </w:r>
    </w:p>
    <w:p w14:paraId="32C74512" w14:textId="77777777" w:rsidR="00C422E2" w:rsidRPr="00C422E2" w:rsidRDefault="00C422E2" w:rsidP="00C422E2">
      <w:pPr>
        <w:spacing w:after="0" w:line="240" w:lineRule="auto"/>
        <w:jc w:val="center"/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</w:pPr>
      <w:r w:rsidRPr="00C422E2"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  <w:t>Per maggiori informazioni consultare le </w:t>
      </w:r>
      <w:hyperlink r:id="rId9" w:tgtFrame="_blank" w:history="1">
        <w:r w:rsidRPr="00C422E2">
          <w:rPr>
            <w:rFonts w:ascii="Helvetica" w:eastAsia="Times New Roman" w:hAnsi="Helvetica" w:cs="Helvetica"/>
            <w:color w:val="0000F1"/>
            <w:kern w:val="0"/>
            <w:sz w:val="18"/>
            <w:szCs w:val="18"/>
            <w:u w:val="single"/>
            <w:lang w:eastAsia="it-IT"/>
            <w14:ligatures w14:val="none"/>
          </w:rPr>
          <w:t>"Linee d</w:t>
        </w:r>
        <w:r w:rsidRPr="00C422E2">
          <w:rPr>
            <w:rFonts w:ascii="Helvetica" w:eastAsia="Times New Roman" w:hAnsi="Helvetica" w:cs="Helvetica"/>
            <w:color w:val="0000F1"/>
            <w:kern w:val="0"/>
            <w:sz w:val="18"/>
            <w:szCs w:val="18"/>
            <w:u w:val="single"/>
            <w:lang w:eastAsia="it-IT"/>
            <w14:ligatures w14:val="none"/>
          </w:rPr>
          <w:t>i</w:t>
        </w:r>
        <w:r w:rsidRPr="00C422E2">
          <w:rPr>
            <w:rFonts w:ascii="Helvetica" w:eastAsia="Times New Roman" w:hAnsi="Helvetica" w:cs="Helvetica"/>
            <w:color w:val="0000F1"/>
            <w:kern w:val="0"/>
            <w:sz w:val="18"/>
            <w:szCs w:val="18"/>
            <w:u w:val="single"/>
            <w:lang w:eastAsia="it-IT"/>
            <w14:ligatures w14:val="none"/>
          </w:rPr>
          <w:t xml:space="preserve"> indirizzo per l’aggiornamento della competenza professionale TESTO UNICO 2018"</w:t>
        </w:r>
      </w:hyperlink>
      <w:r w:rsidRPr="00C422E2">
        <w:rPr>
          <w:rFonts w:ascii="Helvetica" w:eastAsia="Times New Roman" w:hAnsi="Helvetica" w:cs="Helvetica"/>
          <w:color w:val="0A0A0A"/>
          <w:kern w:val="0"/>
          <w:sz w:val="24"/>
          <w:szCs w:val="24"/>
          <w:lang w:eastAsia="it-IT"/>
          <w14:ligatures w14:val="none"/>
        </w:rPr>
        <w:t> del Consiglio Nazionale degli Ingegneri.</w:t>
      </w:r>
    </w:p>
    <w:p w14:paraId="21B18075" w14:textId="77777777" w:rsidR="00C422E2" w:rsidRPr="00C422E2" w:rsidRDefault="00C422E2" w:rsidP="00C422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8A073B9" w14:textId="77777777" w:rsidR="00703E3A" w:rsidRDefault="00703E3A"/>
    <w:sectPr w:rsidR="00703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E2"/>
    <w:rsid w:val="00207620"/>
    <w:rsid w:val="002C0020"/>
    <w:rsid w:val="004A7008"/>
    <w:rsid w:val="00703E3A"/>
    <w:rsid w:val="00825805"/>
    <w:rsid w:val="00AA2D67"/>
    <w:rsid w:val="00B37948"/>
    <w:rsid w:val="00C252DD"/>
    <w:rsid w:val="00C422E2"/>
    <w:rsid w:val="00E7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EA71"/>
  <w15:chartTrackingRefBased/>
  <w15:docId w15:val="{61906ACE-B125-42A5-A240-A6D95F12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422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22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22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422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422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22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422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422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422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22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22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22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422E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422E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22E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422E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422E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422E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422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42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422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22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422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422E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422E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422E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22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22E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422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trimini.ing4.it/event-details/design-the-fut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ptrimini.ing4.it/event-details/dichiarazioni-di-conformi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trimini.ing4.it/event-details/corso-base-di-specializzazione-in-prevenzione-incend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ptrimini.ing4.it/event-details/le-pavimentazioni-rigide-stradali-ed-aeroportual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ptrimini.ing4.it/event-details/sinergie-incontri-tecnici-tra-comune-e-liberi-professionisti" TargetMode="External"/><Relationship Id="rId9" Type="http://schemas.openxmlformats.org/officeDocument/2006/relationships/hyperlink" Target="https://www.cni.it/images/eventi/2017/Linee_guida_per_formazione__HighRe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Ingegneri RN</dc:creator>
  <cp:keywords/>
  <dc:description/>
  <cp:lastModifiedBy>ordine Ingegneri RN</cp:lastModifiedBy>
  <cp:revision>3</cp:revision>
  <dcterms:created xsi:type="dcterms:W3CDTF">2024-03-19T09:25:00Z</dcterms:created>
  <dcterms:modified xsi:type="dcterms:W3CDTF">2024-03-19T09:28:00Z</dcterms:modified>
</cp:coreProperties>
</file>